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rPr>
          <w:rFonts w:ascii="Times New Roman" w:eastAsia="黑体" w:cs="Times New Roman" w:hAnsi="Times New Roman"/>
          <w:b/>
          <w:sz w:val="32"/>
          <w:szCs w:val="32"/>
        </w:rPr>
      </w:pPr>
      <w:r>
        <w:rPr>
          <w:rFonts w:ascii="Times New Roman" w:eastAsia="黑体" w:cs="Times New Roman" w:hAnsi="Times New Roman"/>
          <w:b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Times New Roman" w:eastAsia="方正小标宋简体" w:cs="Times New Roman" w:hAnsi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eastAsia="楷体_GB2312" w:cs="Times New Roman" w:hAnsi="Times New Roman"/>
          <w:b/>
          <w:sz w:val="32"/>
          <w:szCs w:val="32"/>
        </w:rPr>
      </w:pPr>
      <w:r>
        <w:rPr>
          <w:rFonts w:ascii="Times New Roman" w:eastAsia="方正小标宋简体" w:cs="Times New Roman" w:hAnsi="Times New Roman"/>
          <w:b/>
          <w:sz w:val="44"/>
          <w:szCs w:val="44"/>
        </w:rPr>
        <w:t>报考提示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b/>
          <w:sz w:val="44"/>
          <w:szCs w:val="44"/>
        </w:rPr>
      </w:pP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2. 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</w:t>
      </w:r>
      <w:r>
        <w:rPr>
          <w:rFonts w:eastAsia="仿宋_GB2312"/>
          <w:b/>
          <w:sz w:val="32"/>
          <w:szCs w:val="32"/>
        </w:rPr>
        <w:t>满规定的最低服务年限；未满最低服务年限的，</w:t>
      </w:r>
      <w:r>
        <w:rPr>
          <w:rFonts w:ascii="Times New Roman" w:eastAsia="仿宋_GB2312" w:cs="Times New Roman" w:hAnsi="Times New Roman"/>
          <w:b/>
          <w:sz w:val="32"/>
          <w:szCs w:val="32"/>
        </w:rPr>
        <w:t>不得交流（含公开考调）到本市（州）内的上级机关和非艰苦边远地区的机关；也不得交流（含公开考调）到本省内其他市（州）和其他省（区、市）的机关（包括其中艰苦边远地区的机关）。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3. 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4. 2018年以后新录用选调生，到村任职时间未满2年的不得参加公开考调。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5. 对存在达到服务年限前违规调离（含通过提任领导职务调离）情形的，在处理整改前资格审查不通过。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 xml:space="preserve">    6. </w:t>
      </w:r>
      <w:r>
        <w:rPr>
          <w:rFonts w:ascii="仿宋_GB2312" w:eastAsia="仿宋_GB2312" w:hint="eastAsia"/>
          <w:b/>
          <w:bCs/>
          <w:sz w:val="32"/>
          <w:szCs w:val="32"/>
        </w:rPr>
        <w:t>基层工作经历</w:t>
      </w:r>
      <w:r>
        <w:rPr>
          <w:rFonts w:ascii="仿宋_GB2312" w:eastAsia="仿宋_GB2312"/>
          <w:b/>
          <w:bCs/>
          <w:sz w:val="32"/>
          <w:szCs w:val="32"/>
        </w:rPr>
        <w:t>时间的计算和认定要注意把握以下原则：</w:t>
      </w:r>
      <w:r>
        <w:rPr>
          <w:rFonts w:ascii="仿宋_GB2312" w:eastAsia="仿宋_GB2312" w:hint="eastAsia"/>
          <w:b/>
          <w:bCs/>
          <w:sz w:val="32"/>
          <w:szCs w:val="32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sz w:val="32"/>
          <w:szCs w:val="32"/>
        </w:rPr>
        <w:t>基层工作时间可累计计算</w:t>
      </w:r>
      <w:r>
        <w:rPr>
          <w:rFonts w:ascii="仿宋_GB2312" w:eastAsia="仿宋_GB2312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</w:rPr>
        <w:t>有在基层工作期间借调上级部门等情形实际未在基层工作的，不能认定为基层工作经历。</w:t>
      </w: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7. 计算本级机关工作时间时，市（州）、县（市、区）、乡镇（街道）三级分别算作一级机关。本级机关工作时间以正式任职时间（含试用期）计算</w:t>
      </w:r>
      <w:r>
        <w:rPr>
          <w:rFonts w:ascii="仿宋_GB2312" w:eastAsia="仿宋_GB2312" w:hint="eastAsia"/>
          <w:b/>
          <w:bCs/>
          <w:sz w:val="32"/>
          <w:szCs w:val="32"/>
        </w:rPr>
        <w:t>，在本级机关借调工作的时间不能计算在内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/>
          <w:b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8. 本机关工作时间以正式任职时间（含试用期）计算，</w:t>
      </w:r>
      <w:r>
        <w:rPr>
          <w:rFonts w:ascii="仿宋_GB2312" w:eastAsia="仿宋_GB2312" w:hint="eastAsia"/>
          <w:b/>
          <w:bCs/>
          <w:sz w:val="32"/>
          <w:szCs w:val="32"/>
        </w:rPr>
        <w:t>在本机关借调工作的时间不能计算在内</w:t>
      </w:r>
      <w:r>
        <w:rPr>
          <w:rFonts w:ascii="仿宋_GB2312" w:eastAsia="仿宋_GB2312"/>
          <w:b/>
          <w:bCs/>
          <w:sz w:val="32"/>
          <w:szCs w:val="32"/>
        </w:rPr>
        <w:t>。</w:t>
      </w:r>
      <w:r>
        <w:rPr>
          <w:rFonts w:ascii="Times New Roman" w:eastAsia="仿宋_GB2312" w:cs="Times New Roman" w:hAnsi="Times New Roman"/>
          <w:b/>
          <w:sz w:val="32"/>
          <w:szCs w:val="32"/>
        </w:rPr>
        <w:t>同一级机关中属于同一党组（党委）管理的机关之间转任，其转任前后的工作时间可累计计算本机关工作时间。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9. “近3年年度考核”是指2020、2021、2022年的年度考核，如截至目前尚未完成2022年年度考核工作的，可暂按称职来把握，考核结果明确后以实际结果为准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10. 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32"/>
          <w:szCs w:val="32"/>
        </w:rPr>
        <w:t>11</w:t>
      </w:r>
      <w:bookmarkStart w:id="0" w:name="_GoBack"/>
      <w:bookmarkEnd w:id="0"/>
      <w:r>
        <w:rPr>
          <w:rFonts w:ascii="Times New Roman" w:eastAsia="仿宋_GB2312" w:cs="Times New Roman" w:hAnsi="Times New Roman"/>
          <w:b/>
          <w:sz w:val="32"/>
          <w:szCs w:val="32"/>
        </w:rPr>
        <w:t>. 考生不得报考低于其所任职务职级的考调职位（如：二级主任科员不得报考拟任三级主任科员以下职级的职位）。</w:t>
      </w:r>
    </w:p>
    <w:p>
      <w:pPr>
        <w:spacing w:line="560" w:lineRule="exact"/>
        <w:ind w:firstLine="649"/>
        <w:rPr>
          <w:rFonts w:ascii="微软雅黑" w:hAnsi="微软雅黑" w:hint="eastAsia"/>
          <w:b/>
          <w:bCs/>
          <w:sz w:val="18"/>
          <w:szCs w:val="18"/>
        </w:rPr>
      </w:pPr>
      <w:r>
        <w:rPr>
          <w:rFonts w:ascii="仿宋_GB2312" w:eastAsia="仿宋_GB2312"/>
          <w:b/>
          <w:bCs/>
          <w:sz w:val="32"/>
          <w:szCs w:val="32"/>
        </w:rPr>
        <w:t>本</w:t>
      </w:r>
      <w:r>
        <w:rPr>
          <w:rFonts w:ascii="仿宋_GB2312" w:eastAsia="仿宋_GB2312" w:hint="eastAsia"/>
          <w:b/>
          <w:bCs/>
          <w:sz w:val="32"/>
          <w:szCs w:val="32"/>
        </w:rPr>
        <w:t>报考</w:t>
      </w:r>
      <w:r>
        <w:rPr>
          <w:rFonts w:ascii="仿宋_GB2312" w:eastAsia="仿宋_GB2312"/>
          <w:b/>
          <w:bCs/>
          <w:sz w:val="32"/>
          <w:szCs w:val="32"/>
        </w:rPr>
        <w:t>提示</w:t>
      </w:r>
      <w:r>
        <w:rPr>
          <w:rFonts w:ascii="仿宋_GB2312" w:eastAsia="仿宋_GB2312" w:hint="eastAsia"/>
          <w:b/>
          <w:bCs/>
          <w:sz w:val="32"/>
          <w:szCs w:val="32"/>
        </w:rPr>
        <w:t>仅适用于中共攀枝花市委统战部</w:t>
      </w:r>
      <w:r>
        <w:rPr>
          <w:rFonts w:ascii="Times New Roman" w:hAnsi="Times New Roman"/>
          <w:b/>
          <w:bCs/>
          <w:sz w:val="32"/>
          <w:szCs w:val="32"/>
        </w:rPr>
        <w:t>2023</w:t>
      </w:r>
      <w:r>
        <w:rPr>
          <w:rFonts w:ascii="仿宋_GB2312" w:eastAsia="仿宋_GB2312" w:hint="eastAsia"/>
          <w:b/>
          <w:bCs/>
          <w:sz w:val="32"/>
          <w:szCs w:val="32"/>
        </w:rPr>
        <w:t>年公开考调公务员工作。</w:t>
      </w:r>
      <w:r>
        <w:rPr>
          <w:rFonts w:ascii="Times New Roman" w:eastAsia="仿宋_GB2312" w:cs="Times New Roman" w:hAnsi="Times New Roman"/>
          <w:b/>
          <w:sz w:val="32"/>
          <w:szCs w:val="32"/>
        </w:rPr>
        <w:t>涉及有关具体情况的把握和特殊情况的处理等未尽事宜，可直接电话咨询</w:t>
      </w:r>
      <w:r>
        <w:rPr>
          <w:rFonts w:ascii="Times New Roman" w:eastAsia="仿宋_GB2312" w:cs="Times New Roman" w:hAnsi="Times New Roman" w:hint="eastAsia"/>
          <w:b/>
          <w:sz w:val="32"/>
          <w:szCs w:val="32"/>
        </w:rPr>
        <w:t>市委统战部</w:t>
      </w:r>
      <w:r>
        <w:rPr>
          <w:rFonts w:ascii="Times New Roman" w:eastAsia="仿宋_GB2312" w:cs="Times New Roman" w:hAnsi="Times New Roman"/>
          <w:b/>
          <w:sz w:val="32"/>
          <w:szCs w:val="32"/>
        </w:rPr>
        <w:t>。</w:t>
      </w: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560" w:lineRule="exact"/>
        <w:ind w:firstLine="649"/>
        <w:rPr>
          <w:rFonts w:ascii="Times New Roman" w:eastAsia="仿宋_GB2312" w:cs="Times New Roman" w:hAnsi="Times New Roman"/>
          <w:b/>
          <w:sz w:val="32"/>
          <w:szCs w:val="32"/>
        </w:rPr>
      </w:pPr>
    </w:p>
    <w:sectPr>
      <w:footerReference w:type="default" r:id="rId2"/>
      <w:footerReference w:type="even" r:id="rId3"/>
      <w:footerReference w:type="first" r:id="rId4"/>
      <w:pgSz w:w="11906" w:h="16838"/>
      <w:pgMar w:top="2098" w:right="1531" w:bottom="1984" w:left="1531" w:header="851" w:footer="1559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黑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Fonts w:ascii="宋体"/>
        <w:b/>
        <w:bCs/>
        <w:sz w:val="28"/>
        <w:szCs w:val="28"/>
      </w:rPr>
    </w:pPr>
    <w:r>
      <w:rPr>
        <w:rStyle w:val="19"/>
        <w:rFonts w:ascii="宋体" w:hAnsi="宋体" w:hint="eastAsia"/>
        <w:b/>
        <w:bCs/>
        <w:sz w:val="28"/>
        <w:szCs w:val="28"/>
      </w:rPr>
      <w:fldChar w:fldCharType="begin"/>
    </w:r>
    <w:r>
      <w:rPr>
        <w:rStyle w:val="19"/>
        <w:rFonts w:ascii="宋体" w:hAnsi="宋体" w:hint="eastAsia"/>
        <w:b/>
        <w:bCs/>
        <w:sz w:val="28"/>
        <w:szCs w:val="28"/>
      </w:rPr>
      <w:instrText>Page</w:instrText>
    </w:r>
    <w:r>
      <w:rPr>
        <w:rStyle w:val="19"/>
        <w:rFonts w:ascii="宋体" w:hAnsi="宋体" w:hint="eastAsia"/>
        <w:b/>
        <w:bCs/>
        <w:sz w:val="28"/>
        <w:szCs w:val="28"/>
      </w:rPr>
      <w:fldChar w:fldCharType="separate"/>
    </w:r>
    <w:r>
      <w:rPr>
        <w:rStyle w:val="19"/>
        <w:rFonts w:ascii="宋体" w:hAnsi="宋体" w:hint="eastAsia"/>
        <w:b/>
        <w:bCs/>
        <w:sz w:val="28"/>
        <w:szCs w:val="28"/>
      </w:rPr>
      <w:t>— 1 —</w:t>
    </w:r>
    <w:r>
      <w:rPr>
        <w:rStyle w:val="19"/>
        <w:rFonts w:ascii="宋体" w:hAnsi="宋体" w:hint="eastAsia"/>
        <w:b/>
        <w:bCs/>
        <w:sz w:val="28"/>
        <w:szCs w:val="28"/>
      </w:rPr>
      <w:fldChar w:fldCharType="end"/>
    </w:r>
  </w:p>
  <w:p>
    <w:pPr>
      <w:pStyle w:val="15"/>
      <w:tabs>
        <w:tab w:val="center" w:pos="4153"/>
        <w:tab w:val="right" w:pos="8306"/>
      </w:tabs>
      <w:ind w:right="360"/>
      <w:rPr>
        <w:rFonts w:ascii="宋体"/>
        <w:b/>
        <w:bCs/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jc w:val="center"/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19"/>
      </w:rPr>
      <w:fldChar w:fldCharType="begin"/>
    </w:r>
    <w:r>
      <w:rPr>
        <w:rStyle w:val="19"/>
      </w:rPr>
      <w:instrText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Normal (Web)"/>
    <w:basedOn w:val="0"/>
    <w:next w:val="15"/>
    <w:pPr>
      <w:spacing w:beforeAutospacing="1" w:afterAutospacing="1"/>
      <w:jc w:val="left"/>
    </w:pPr>
    <w:rPr>
      <w:kern w:val="0"/>
      <w:sz w:val="24"/>
    </w:rPr>
  </w:style>
  <w:style w:type="character" w:styleId="18">
    <w:name w:val="Strong"/>
    <w:rPr>
      <w:rFonts w:ascii="宋体" w:eastAsia="宋体" w:cs="Times New Roman"/>
      <w:b/>
      <w:kern w:val="2"/>
      <w:sz w:val="24"/>
      <w:szCs w:val="21"/>
      <w:lang w:val="en-US" w:eastAsia="zh-CN" w:bidi="ar-SA"/>
    </w:rPr>
  </w:style>
  <w:style w:type="character" w:styleId="19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129A1A4-DED3-4E6B-B818-E92C0E8781C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3</Pages>
  <Words>0</Words>
  <Characters>1086</Characters>
  <Lines>0</Lines>
  <Paragraphs>21</Paragraphs>
  <CharactersWithSpaces>1449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John</dc:creator>
  <cp:lastModifiedBy>user</cp:lastModifiedBy>
  <cp:revision>2</cp:revision>
  <cp:lastPrinted>2023-06-27T01:23:00Z</cp:lastPrinted>
  <dcterms:created xsi:type="dcterms:W3CDTF">2023-09-11T16:00:00Z</dcterms:created>
  <dcterms:modified xsi:type="dcterms:W3CDTF">2023-09-12T04:25:42Z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